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D" w:rsidRDefault="00DE5BED" w:rsidP="00DE5BED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台州市</w:t>
      </w:r>
      <w:r>
        <w:rPr>
          <w:rFonts w:ascii="方正小标宋简体" w:eastAsia="方正小标宋简体" w:hAnsi="黑体"/>
          <w:sz w:val="44"/>
          <w:szCs w:val="44"/>
        </w:rPr>
        <w:t>自然资源和规划局</w:t>
      </w:r>
      <w:r>
        <w:rPr>
          <w:rFonts w:ascii="方正小标宋简体" w:eastAsia="方正小标宋简体" w:hAnsi="黑体" w:hint="eastAsia"/>
          <w:sz w:val="44"/>
          <w:szCs w:val="44"/>
        </w:rPr>
        <w:t>关于台州市区未来社区规划管理技术规定（建筑</w:t>
      </w:r>
      <w:r>
        <w:rPr>
          <w:rFonts w:ascii="方正小标宋简体" w:eastAsia="方正小标宋简体" w:hAnsi="黑体"/>
          <w:sz w:val="44"/>
          <w:szCs w:val="44"/>
        </w:rPr>
        <w:t>管理</w:t>
      </w:r>
      <w:r>
        <w:rPr>
          <w:rFonts w:ascii="方正小标宋简体" w:eastAsia="方正小标宋简体" w:hAnsi="黑体" w:hint="eastAsia"/>
          <w:sz w:val="44"/>
          <w:szCs w:val="44"/>
        </w:rPr>
        <w:t>）</w:t>
      </w:r>
    </w:p>
    <w:p w:rsidR="00DE5BED" w:rsidRDefault="00DE5BED" w:rsidP="00DE5BED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的</w:t>
      </w:r>
      <w:r>
        <w:rPr>
          <w:rFonts w:ascii="方正小标宋简体" w:eastAsia="方正小标宋简体" w:hAnsi="黑体"/>
          <w:sz w:val="44"/>
          <w:szCs w:val="44"/>
        </w:rPr>
        <w:t>通知</w:t>
      </w:r>
      <w:r>
        <w:rPr>
          <w:rFonts w:ascii="方正小标宋简体" w:eastAsia="方正小标宋简体" w:hAnsi="黑体" w:hint="eastAsia"/>
          <w:sz w:val="44"/>
          <w:szCs w:val="44"/>
        </w:rPr>
        <w:t>（征求意见稿）</w:t>
      </w:r>
    </w:p>
    <w:p w:rsidR="00DE5BED" w:rsidRDefault="00DE5BED" w:rsidP="00DE5BE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DE5BED" w:rsidRPr="00227093" w:rsidRDefault="00DE5BED" w:rsidP="00DE5B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093">
        <w:rPr>
          <w:rFonts w:ascii="仿宋_GB2312" w:eastAsia="仿宋_GB2312" w:hint="eastAsia"/>
          <w:sz w:val="32"/>
          <w:szCs w:val="32"/>
        </w:rPr>
        <w:t>为进一步贯彻落实浙江省关于推进未来社区建设有关文件精神，高质量推进台州未来社区建设，规范城乡规划管理，努力营造新时代高品质生活环境，经研究，现将市区未来社区规划管理（建筑管理）规定如下：</w:t>
      </w:r>
    </w:p>
    <w:p w:rsidR="00DE5BED" w:rsidRDefault="00DE5BED" w:rsidP="00DE5BE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适用</w:t>
      </w:r>
      <w:r>
        <w:rPr>
          <w:rFonts w:ascii="黑体" w:eastAsia="黑体" w:hAnsi="黑体"/>
          <w:sz w:val="32"/>
          <w:szCs w:val="32"/>
        </w:rPr>
        <w:t>范围</w:t>
      </w:r>
    </w:p>
    <w:p w:rsidR="00DE5BED" w:rsidRPr="00227093" w:rsidRDefault="00DE5BED" w:rsidP="00DE5B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093">
        <w:rPr>
          <w:rFonts w:ascii="仿宋_GB2312" w:eastAsia="仿宋_GB2312" w:hint="eastAsia"/>
          <w:sz w:val="32"/>
          <w:szCs w:val="32"/>
        </w:rPr>
        <w:t>市区列入浙江省未来社区建设试点项目（经省发展和改革委员会公布），其规划单元范围内建设项目的规划设计和管理适用本规定。</w:t>
      </w:r>
    </w:p>
    <w:p w:rsidR="00DE5BED" w:rsidRDefault="00DE5BED" w:rsidP="00DE5BE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主要内容</w:t>
      </w:r>
    </w:p>
    <w:p w:rsidR="00DE5BED" w:rsidRPr="00227093" w:rsidRDefault="00DE5BED" w:rsidP="00DE5BED">
      <w:pPr>
        <w:ind w:firstLineChars="200" w:firstLine="640"/>
        <w:jc w:val="distribute"/>
        <w:rPr>
          <w:rFonts w:ascii="仿宋_GB2312" w:eastAsia="仿宋_GB2312" w:hint="eastAsia"/>
          <w:sz w:val="32"/>
          <w:szCs w:val="32"/>
        </w:rPr>
      </w:pPr>
      <w:r w:rsidRPr="0015594C">
        <w:rPr>
          <w:rFonts w:ascii="楷体_GB2312" w:eastAsia="楷体_GB2312" w:hAnsi="楷体" w:hint="eastAsia"/>
          <w:sz w:val="32"/>
          <w:szCs w:val="32"/>
        </w:rPr>
        <w:t>（一）总体原则。</w:t>
      </w:r>
      <w:r w:rsidRPr="002F343D">
        <w:rPr>
          <w:rFonts w:ascii="仿宋_GB2312" w:eastAsia="仿宋_GB2312" w:hint="eastAsia"/>
          <w:sz w:val="32"/>
          <w:szCs w:val="32"/>
        </w:rPr>
        <w:t>未来</w:t>
      </w:r>
      <w:r w:rsidRPr="00227093">
        <w:rPr>
          <w:rFonts w:ascii="仿宋_GB2312" w:eastAsia="仿宋_GB2312" w:hint="eastAsia"/>
          <w:sz w:val="32"/>
          <w:szCs w:val="32"/>
        </w:rPr>
        <w:t>社区的</w:t>
      </w:r>
      <w:r w:rsidRPr="002F343D">
        <w:rPr>
          <w:rFonts w:ascii="仿宋_GB2312" w:eastAsia="仿宋_GB2312" w:hint="eastAsia"/>
          <w:sz w:val="32"/>
          <w:szCs w:val="32"/>
        </w:rPr>
        <w:t>建筑、规划</w:t>
      </w:r>
      <w:r w:rsidRPr="00227093">
        <w:rPr>
          <w:rFonts w:ascii="仿宋_GB2312" w:eastAsia="仿宋_GB2312" w:hint="eastAsia"/>
          <w:sz w:val="32"/>
          <w:szCs w:val="32"/>
        </w:rPr>
        <w:t>设计</w:t>
      </w:r>
      <w:r w:rsidRPr="002F343D">
        <w:rPr>
          <w:rFonts w:ascii="仿宋_GB2312" w:eastAsia="仿宋_GB2312" w:hint="eastAsia"/>
          <w:sz w:val="32"/>
          <w:szCs w:val="32"/>
        </w:rPr>
        <w:t>应</w:t>
      </w:r>
      <w:r w:rsidRPr="00227093">
        <w:rPr>
          <w:rFonts w:ascii="仿宋_GB2312" w:eastAsia="仿宋_GB2312" w:hint="eastAsia"/>
          <w:sz w:val="32"/>
          <w:szCs w:val="32"/>
        </w:rPr>
        <w:t>符合</w:t>
      </w:r>
      <w:r w:rsidRPr="002F343D">
        <w:rPr>
          <w:rFonts w:ascii="仿宋_GB2312" w:eastAsia="仿宋_GB2312" w:hint="eastAsia"/>
          <w:sz w:val="32"/>
          <w:szCs w:val="32"/>
        </w:rPr>
        <w:t>《城市</w:t>
      </w:r>
      <w:r w:rsidRPr="00227093">
        <w:rPr>
          <w:rFonts w:ascii="仿宋_GB2312" w:eastAsia="仿宋_GB2312" w:hint="eastAsia"/>
          <w:sz w:val="32"/>
          <w:szCs w:val="32"/>
        </w:rPr>
        <w:t>居住区规划设计标准</w:t>
      </w:r>
      <w:r w:rsidRPr="002F343D">
        <w:rPr>
          <w:rFonts w:ascii="仿宋_GB2312" w:eastAsia="仿宋_GB2312" w:hint="eastAsia"/>
          <w:sz w:val="32"/>
          <w:szCs w:val="32"/>
        </w:rPr>
        <w:t>》（GB50180-2018</w:t>
      </w:r>
      <w:r w:rsidRPr="00855FA6">
        <w:rPr>
          <w:rFonts w:ascii="仿宋_GB2312" w:eastAsia="仿宋_GB2312" w:hint="eastAsia"/>
          <w:sz w:val="32"/>
          <w:szCs w:val="32"/>
        </w:rPr>
        <w:t>），《住宅</w:t>
      </w:r>
      <w:r w:rsidRPr="00227093">
        <w:rPr>
          <w:rFonts w:ascii="仿宋_GB2312" w:eastAsia="仿宋_GB2312" w:hint="eastAsia"/>
          <w:sz w:val="32"/>
          <w:szCs w:val="32"/>
        </w:rPr>
        <w:t>设计规范</w:t>
      </w:r>
      <w:r w:rsidRPr="002F343D">
        <w:rPr>
          <w:rFonts w:ascii="仿宋_GB2312" w:eastAsia="仿宋_GB2312" w:hint="eastAsia"/>
          <w:sz w:val="32"/>
          <w:szCs w:val="32"/>
        </w:rPr>
        <w:t>》（GB50</w:t>
      </w:r>
      <w:r w:rsidRPr="00227093">
        <w:rPr>
          <w:rFonts w:ascii="仿宋_GB2312" w:eastAsia="仿宋_GB2312" w:hint="eastAsia"/>
          <w:sz w:val="32"/>
          <w:szCs w:val="32"/>
        </w:rPr>
        <w:t>096</w:t>
      </w:r>
      <w:r w:rsidRPr="002F343D">
        <w:rPr>
          <w:rFonts w:ascii="仿宋_GB2312" w:eastAsia="仿宋_GB2312" w:hint="eastAsia"/>
          <w:sz w:val="32"/>
          <w:szCs w:val="32"/>
        </w:rPr>
        <w:t>-201</w:t>
      </w:r>
      <w:r w:rsidRPr="00227093">
        <w:rPr>
          <w:rFonts w:ascii="仿宋_GB2312" w:eastAsia="仿宋_GB2312" w:hint="eastAsia"/>
          <w:sz w:val="32"/>
          <w:szCs w:val="32"/>
        </w:rPr>
        <w:t>1</w:t>
      </w:r>
      <w:r w:rsidRPr="002F343D">
        <w:rPr>
          <w:rFonts w:ascii="仿宋_GB2312" w:eastAsia="仿宋_GB2312" w:hint="eastAsia"/>
          <w:sz w:val="32"/>
          <w:szCs w:val="32"/>
        </w:rPr>
        <w:t>），《民用建筑设计统一标准》（GB50352-2019</w:t>
      </w:r>
      <w:r w:rsidRPr="00855FA6">
        <w:rPr>
          <w:rFonts w:ascii="仿宋_GB2312" w:eastAsia="仿宋_GB2312" w:hint="eastAsia"/>
          <w:sz w:val="32"/>
          <w:szCs w:val="32"/>
        </w:rPr>
        <w:t>），《台州市</w:t>
      </w:r>
      <w:r w:rsidRPr="00227093">
        <w:rPr>
          <w:rFonts w:ascii="仿宋_GB2312" w:eastAsia="仿宋_GB2312" w:hint="eastAsia"/>
          <w:sz w:val="32"/>
          <w:szCs w:val="32"/>
        </w:rPr>
        <w:t>城乡规划管理技术规定（</w:t>
      </w:r>
      <w:r w:rsidRPr="002F343D">
        <w:rPr>
          <w:rFonts w:ascii="仿宋_GB2312" w:eastAsia="仿宋_GB2312" w:hint="eastAsia"/>
          <w:sz w:val="32"/>
          <w:szCs w:val="32"/>
        </w:rPr>
        <w:t>建筑</w:t>
      </w:r>
      <w:r w:rsidRPr="00227093">
        <w:rPr>
          <w:rFonts w:ascii="仿宋_GB2312" w:eastAsia="仿宋_GB2312" w:hint="eastAsia"/>
          <w:sz w:val="32"/>
          <w:szCs w:val="32"/>
        </w:rPr>
        <w:t>管理）</w:t>
      </w:r>
      <w:r w:rsidRPr="002F343D">
        <w:rPr>
          <w:rFonts w:ascii="仿宋_GB2312" w:eastAsia="仿宋_GB2312" w:hint="eastAsia"/>
          <w:sz w:val="32"/>
          <w:szCs w:val="32"/>
        </w:rPr>
        <w:t>2018版》等有关技术标准、规范、规程</w:t>
      </w:r>
      <w:r w:rsidRPr="00227093">
        <w:rPr>
          <w:rFonts w:ascii="仿宋_GB2312" w:eastAsia="仿宋_GB2312" w:hint="eastAsia"/>
          <w:sz w:val="32"/>
          <w:szCs w:val="32"/>
        </w:rPr>
        <w:t>；</w:t>
      </w:r>
      <w:r w:rsidRPr="002F343D">
        <w:rPr>
          <w:rFonts w:ascii="仿宋_GB2312" w:eastAsia="仿宋_GB2312" w:hint="eastAsia"/>
          <w:sz w:val="32"/>
          <w:szCs w:val="32"/>
        </w:rPr>
        <w:t>建设工程项目建筑面积等</w:t>
      </w:r>
      <w:r w:rsidRPr="00227093">
        <w:rPr>
          <w:rFonts w:ascii="仿宋_GB2312" w:eastAsia="仿宋_GB2312" w:hint="eastAsia"/>
          <w:sz w:val="32"/>
          <w:szCs w:val="32"/>
        </w:rPr>
        <w:t>经济技术指标</w:t>
      </w:r>
      <w:r w:rsidRPr="002F343D">
        <w:rPr>
          <w:rFonts w:ascii="仿宋_GB2312" w:eastAsia="仿宋_GB2312" w:hint="eastAsia"/>
          <w:sz w:val="32"/>
          <w:szCs w:val="32"/>
        </w:rPr>
        <w:t>计算和竣工综合测量严格按照浙江省工程建设标准《建筑工程建筑面积计算和竣</w:t>
      </w:r>
      <w:r w:rsidRPr="00855FA6">
        <w:rPr>
          <w:rFonts w:ascii="仿宋_GB2312" w:eastAsia="仿宋_GB2312" w:hint="eastAsia"/>
          <w:sz w:val="32"/>
          <w:szCs w:val="32"/>
        </w:rPr>
        <w:t>工综合测量技术规程》（</w:t>
      </w:r>
      <w:r w:rsidRPr="00227093">
        <w:rPr>
          <w:rFonts w:ascii="仿宋_GB2312" w:eastAsia="仿宋_GB2312" w:hint="eastAsia"/>
          <w:sz w:val="32"/>
          <w:szCs w:val="32"/>
        </w:rPr>
        <w:t>DB33/T1152-2018）执行。</w:t>
      </w:r>
    </w:p>
    <w:p w:rsidR="00DE5BED" w:rsidRPr="0015594C" w:rsidRDefault="00DE5BED" w:rsidP="00DE5BED">
      <w:pPr>
        <w:ind w:firstLineChars="200" w:firstLine="640"/>
        <w:jc w:val="left"/>
        <w:rPr>
          <w:rFonts w:ascii="楷体_GB2312" w:eastAsia="楷体_GB2312" w:hAnsi="楷体" w:hint="eastAsia"/>
          <w:sz w:val="32"/>
          <w:szCs w:val="32"/>
        </w:rPr>
      </w:pPr>
      <w:r w:rsidRPr="0015594C">
        <w:rPr>
          <w:rFonts w:ascii="楷体_GB2312" w:eastAsia="楷体_GB2312" w:hAnsi="楷体" w:hint="eastAsia"/>
          <w:sz w:val="32"/>
          <w:szCs w:val="32"/>
        </w:rPr>
        <w:t>（二）关于公共共享空间</w:t>
      </w:r>
    </w:p>
    <w:p w:rsidR="00DE5BED" w:rsidRDefault="00DE5BED" w:rsidP="00DE5B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5594C">
        <w:rPr>
          <w:rFonts w:ascii="仿宋_GB2312" w:eastAsia="仿宋_GB2312" w:hAnsi="楷体" w:hint="eastAsia"/>
          <w:sz w:val="32"/>
          <w:szCs w:val="32"/>
        </w:rPr>
        <w:lastRenderedPageBreak/>
        <w:t>1、</w:t>
      </w:r>
      <w:r>
        <w:rPr>
          <w:rFonts w:ascii="仿宋_GB2312" w:eastAsia="仿宋_GB2312" w:hint="eastAsia"/>
          <w:sz w:val="32"/>
          <w:szCs w:val="32"/>
        </w:rPr>
        <w:t>公共空间，设置于地上二层及以下，净高不小于3.9米，</w:t>
      </w:r>
      <w:r>
        <w:rPr>
          <w:rFonts w:ascii="仿宋_GB2312" w:eastAsia="仿宋_GB2312"/>
          <w:sz w:val="32"/>
          <w:szCs w:val="32"/>
        </w:rPr>
        <w:t>视线通透</w:t>
      </w:r>
      <w:r>
        <w:rPr>
          <w:rFonts w:ascii="仿宋_GB2312" w:eastAsia="仿宋_GB2312" w:hint="eastAsia"/>
          <w:sz w:val="32"/>
          <w:szCs w:val="32"/>
        </w:rPr>
        <w:t>且不围合</w:t>
      </w:r>
      <w:r>
        <w:rPr>
          <w:rFonts w:ascii="仿宋_GB2312" w:eastAsia="仿宋_GB2312"/>
          <w:sz w:val="32"/>
          <w:szCs w:val="32"/>
        </w:rPr>
        <w:t>，功能</w:t>
      </w:r>
      <w:r>
        <w:rPr>
          <w:rFonts w:ascii="仿宋_GB2312" w:eastAsia="仿宋_GB2312" w:hint="eastAsia"/>
          <w:sz w:val="32"/>
          <w:szCs w:val="32"/>
        </w:rPr>
        <w:t>作为防灾安全通道、架空空间和公共开敞</w:t>
      </w:r>
      <w:r>
        <w:rPr>
          <w:rFonts w:ascii="仿宋_GB2312" w:eastAsia="仿宋_GB2312"/>
          <w:sz w:val="32"/>
          <w:szCs w:val="32"/>
        </w:rPr>
        <w:t>空间</w:t>
      </w:r>
      <w:r>
        <w:rPr>
          <w:rFonts w:ascii="仿宋_GB2312" w:eastAsia="仿宋_GB2312" w:hint="eastAsia"/>
          <w:sz w:val="32"/>
          <w:szCs w:val="32"/>
        </w:rPr>
        <w:t>使用的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不计入</w:t>
      </w:r>
      <w:r>
        <w:rPr>
          <w:rFonts w:ascii="仿宋_GB2312" w:eastAsia="仿宋_GB2312" w:hint="eastAsia"/>
          <w:sz w:val="32"/>
          <w:szCs w:val="32"/>
        </w:rPr>
        <w:t>工程</w:t>
      </w:r>
      <w:r>
        <w:rPr>
          <w:rFonts w:ascii="仿宋_GB2312" w:eastAsia="仿宋_GB2312"/>
          <w:sz w:val="32"/>
          <w:szCs w:val="32"/>
        </w:rPr>
        <w:t>项目容积率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/>
          <w:sz w:val="32"/>
          <w:szCs w:val="32"/>
        </w:rPr>
        <w:t>。</w:t>
      </w:r>
    </w:p>
    <w:p w:rsidR="00DE5BED" w:rsidRDefault="00DE5BED" w:rsidP="00DE5B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E35E8E">
        <w:rPr>
          <w:rFonts w:ascii="仿宋_GB2312" w:eastAsia="仿宋_GB2312" w:hint="eastAsia"/>
          <w:spacing w:val="-2"/>
          <w:sz w:val="32"/>
          <w:szCs w:val="32"/>
        </w:rPr>
        <w:t>公共开敞的过街楼、架空连廊和人行天桥，净</w:t>
      </w:r>
      <w:r w:rsidRPr="00E35E8E">
        <w:rPr>
          <w:rFonts w:ascii="仿宋_GB2312" w:eastAsia="仿宋_GB2312"/>
          <w:spacing w:val="-2"/>
          <w:sz w:val="32"/>
          <w:szCs w:val="32"/>
        </w:rPr>
        <w:t>高在</w:t>
      </w:r>
      <w:r w:rsidRPr="00E35E8E">
        <w:rPr>
          <w:rFonts w:ascii="仿宋_GB2312" w:eastAsia="仿宋_GB2312" w:hint="eastAsia"/>
          <w:spacing w:val="-2"/>
          <w:sz w:val="32"/>
          <w:szCs w:val="32"/>
        </w:rPr>
        <w:t>4.5</w:t>
      </w:r>
      <w:r>
        <w:rPr>
          <w:rFonts w:ascii="仿宋_GB2312" w:eastAsia="仿宋_GB2312" w:hint="eastAsia"/>
          <w:sz w:val="32"/>
          <w:szCs w:val="32"/>
        </w:rPr>
        <w:t>米</w:t>
      </w:r>
      <w:r>
        <w:rPr>
          <w:rFonts w:ascii="仿宋_GB2312" w:eastAsia="仿宋_GB2312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，且</w:t>
      </w:r>
      <w:r>
        <w:rPr>
          <w:rFonts w:ascii="仿宋_GB2312" w:eastAsia="仿宋_GB2312"/>
          <w:sz w:val="32"/>
          <w:szCs w:val="32"/>
        </w:rPr>
        <w:t>作为公共交通空间</w:t>
      </w:r>
      <w:r>
        <w:rPr>
          <w:rFonts w:ascii="仿宋_GB2312" w:eastAsia="仿宋_GB2312" w:hint="eastAsia"/>
          <w:sz w:val="32"/>
          <w:szCs w:val="32"/>
        </w:rPr>
        <w:t>使用的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可不计入工程</w:t>
      </w:r>
      <w:r>
        <w:rPr>
          <w:rFonts w:ascii="仿宋_GB2312" w:eastAsia="仿宋_GB2312"/>
          <w:sz w:val="32"/>
          <w:szCs w:val="32"/>
        </w:rPr>
        <w:t>项目容积率和</w:t>
      </w:r>
      <w:r>
        <w:rPr>
          <w:rFonts w:ascii="仿宋_GB2312" w:eastAsia="仿宋_GB2312" w:hint="eastAsia"/>
          <w:sz w:val="32"/>
          <w:szCs w:val="32"/>
        </w:rPr>
        <w:t>建筑密度指标。</w:t>
      </w:r>
    </w:p>
    <w:p w:rsidR="00DE5BED" w:rsidRPr="0015594C" w:rsidRDefault="00DE5BED" w:rsidP="00DE5BED">
      <w:pPr>
        <w:ind w:firstLineChars="200" w:firstLine="640"/>
        <w:jc w:val="left"/>
        <w:rPr>
          <w:rFonts w:ascii="楷体_GB2312" w:eastAsia="楷体_GB2312" w:hAnsi="楷体" w:hint="eastAsia"/>
          <w:sz w:val="32"/>
          <w:szCs w:val="32"/>
        </w:rPr>
      </w:pPr>
      <w:r w:rsidRPr="0015594C">
        <w:rPr>
          <w:rFonts w:ascii="楷体_GB2312" w:eastAsia="楷体_GB2312" w:hAnsi="楷体" w:hint="eastAsia"/>
          <w:sz w:val="32"/>
          <w:szCs w:val="32"/>
        </w:rPr>
        <w:t>（三）关于立体绿化</w:t>
      </w:r>
    </w:p>
    <w:p w:rsidR="00DE5BED" w:rsidRDefault="00DE5BED" w:rsidP="00DE5B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2F343D">
        <w:rPr>
          <w:rFonts w:ascii="仿宋_GB2312" w:eastAsia="仿宋_GB2312" w:hint="eastAsia"/>
          <w:sz w:val="32"/>
          <w:szCs w:val="32"/>
        </w:rPr>
        <w:t>工程项目实施屋顶立体绿化或</w:t>
      </w:r>
      <w:r w:rsidRPr="00227093">
        <w:rPr>
          <w:rFonts w:ascii="仿宋_GB2312" w:eastAsia="仿宋_GB2312" w:hint="eastAsia"/>
          <w:sz w:val="32"/>
          <w:szCs w:val="32"/>
        </w:rPr>
        <w:t>在墙面实施垂直绿化</w:t>
      </w:r>
      <w:r w:rsidRPr="002F343D">
        <w:rPr>
          <w:rFonts w:ascii="仿宋_GB2312" w:eastAsia="仿宋_GB2312" w:hint="eastAsia"/>
          <w:sz w:val="32"/>
          <w:szCs w:val="32"/>
        </w:rPr>
        <w:t>且</w:t>
      </w:r>
      <w:r w:rsidRPr="00227093">
        <w:rPr>
          <w:rFonts w:ascii="仿宋_GB2312" w:eastAsia="仿宋_GB2312" w:hint="eastAsia"/>
          <w:sz w:val="32"/>
          <w:szCs w:val="32"/>
        </w:rPr>
        <w:t>作为</w:t>
      </w:r>
      <w:r w:rsidRPr="002F343D">
        <w:rPr>
          <w:rFonts w:ascii="仿宋_GB2312" w:eastAsia="仿宋_GB2312" w:hint="eastAsia"/>
          <w:sz w:val="32"/>
          <w:szCs w:val="32"/>
        </w:rPr>
        <w:t>公共</w:t>
      </w:r>
      <w:r w:rsidRPr="00227093">
        <w:rPr>
          <w:rFonts w:ascii="仿宋_GB2312" w:eastAsia="仿宋_GB2312" w:hint="eastAsia"/>
          <w:sz w:val="32"/>
          <w:szCs w:val="32"/>
        </w:rPr>
        <w:t>共享</w:t>
      </w:r>
      <w:r w:rsidRPr="002F343D">
        <w:rPr>
          <w:rFonts w:ascii="仿宋_GB2312" w:eastAsia="仿宋_GB2312" w:hint="eastAsia"/>
          <w:sz w:val="32"/>
          <w:szCs w:val="32"/>
        </w:rPr>
        <w:t>使用</w:t>
      </w:r>
      <w:r w:rsidRPr="00227093">
        <w:rPr>
          <w:rFonts w:ascii="仿宋_GB2312" w:eastAsia="仿宋_GB2312" w:hint="eastAsia"/>
          <w:sz w:val="32"/>
          <w:szCs w:val="32"/>
        </w:rPr>
        <w:t>的，</w:t>
      </w:r>
      <w:r w:rsidRPr="002F343D">
        <w:rPr>
          <w:rFonts w:ascii="仿宋_GB2312" w:eastAsia="仿宋_GB2312" w:hint="eastAsia"/>
          <w:sz w:val="32"/>
          <w:szCs w:val="32"/>
        </w:rPr>
        <w:t>可以</w:t>
      </w:r>
      <w:r w:rsidRPr="00227093">
        <w:rPr>
          <w:rFonts w:ascii="仿宋_GB2312" w:eastAsia="仿宋_GB2312" w:hint="eastAsia"/>
          <w:sz w:val="32"/>
          <w:szCs w:val="32"/>
        </w:rPr>
        <w:t>计入工程项目绿地面积，但不得超过工程项目</w:t>
      </w:r>
      <w:r w:rsidRPr="002F343D">
        <w:rPr>
          <w:rFonts w:ascii="仿宋_GB2312" w:eastAsia="仿宋_GB2312" w:hint="eastAsia"/>
          <w:sz w:val="32"/>
          <w:szCs w:val="32"/>
        </w:rPr>
        <w:t>审批</w:t>
      </w:r>
      <w:r w:rsidRPr="00227093">
        <w:rPr>
          <w:rFonts w:ascii="仿宋_GB2312" w:eastAsia="仿宋_GB2312" w:hint="eastAsia"/>
          <w:sz w:val="32"/>
          <w:szCs w:val="32"/>
        </w:rPr>
        <w:t>确定的</w:t>
      </w:r>
      <w:r w:rsidRPr="002F343D">
        <w:rPr>
          <w:rFonts w:ascii="仿宋_GB2312" w:eastAsia="仿宋_GB2312" w:hint="eastAsia"/>
          <w:sz w:val="32"/>
          <w:szCs w:val="32"/>
        </w:rPr>
        <w:t>绿地率</w:t>
      </w:r>
      <w:r w:rsidRPr="00227093">
        <w:rPr>
          <w:rFonts w:ascii="仿宋_GB2312" w:eastAsia="仿宋_GB2312" w:hint="eastAsia"/>
          <w:sz w:val="32"/>
          <w:szCs w:val="32"/>
        </w:rPr>
        <w:t>的</w:t>
      </w:r>
      <w:r w:rsidRPr="002F343D">
        <w:rPr>
          <w:rFonts w:ascii="仿宋_GB2312" w:eastAsia="仿宋_GB2312" w:hint="eastAsia"/>
          <w:sz w:val="32"/>
          <w:szCs w:val="32"/>
        </w:rPr>
        <w:t>20</w:t>
      </w:r>
      <w:r w:rsidRPr="00227093">
        <w:rPr>
          <w:rFonts w:ascii="仿宋_GB2312" w:eastAsia="仿宋_GB2312" w:hint="eastAsia"/>
          <w:sz w:val="32"/>
          <w:szCs w:val="32"/>
        </w:rPr>
        <w:t>%</w:t>
      </w:r>
      <w:r w:rsidRPr="002F343D">
        <w:rPr>
          <w:rFonts w:ascii="仿宋_GB2312" w:eastAsia="仿宋_GB2312" w:hint="eastAsia"/>
          <w:sz w:val="32"/>
          <w:szCs w:val="32"/>
        </w:rPr>
        <w:t>。</w:t>
      </w:r>
    </w:p>
    <w:p w:rsidR="00DE5BED" w:rsidRPr="00227093" w:rsidRDefault="00DE5BED" w:rsidP="00DE5B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093">
        <w:rPr>
          <w:rFonts w:ascii="仿宋_GB2312" w:eastAsia="仿宋_GB2312" w:hint="eastAsia"/>
          <w:sz w:val="32"/>
          <w:szCs w:val="32"/>
        </w:rPr>
        <w:t>2、与公共通道相连的空中花园，净高在4.5米以上，公共开敞并作为绿化休闲功能使用的，可不计入工程项目容积率指标；若垂直高度上设置多个空中花园时，则垂直间隔不得少于五个自然层。</w:t>
      </w:r>
    </w:p>
    <w:p w:rsidR="00DE5BED" w:rsidRPr="00227093" w:rsidRDefault="00DE5BED" w:rsidP="00DE5B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093">
        <w:rPr>
          <w:rFonts w:ascii="仿宋_GB2312" w:eastAsia="仿宋_GB2312" w:hint="eastAsia"/>
          <w:sz w:val="32"/>
          <w:szCs w:val="32"/>
        </w:rPr>
        <w:t>3、住宅户内空中花园阳台（花池），不得设置于北侧；花池底板板面与室内地面结构板板面或阳台底板板面高差在0.6米及以上的，且单套住宅空中花池投影面积占该套住宅阳台投影面积比值不超过1/2的，其花池面积不计入该工程项目建筑面积和容积率，超过该套住宅阳台投影面积1/2比值的，超过部分按水平投影计算全面积。</w:t>
      </w:r>
    </w:p>
    <w:p w:rsidR="00DE5BED" w:rsidRDefault="00DE5BED" w:rsidP="00DE5BE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本通知自发文之日起执行。建筑方案尚未审查通过的建设项目，按照本通知执行。</w:t>
      </w:r>
    </w:p>
    <w:p w:rsidR="00DE5BED" w:rsidRDefault="00DE5BED" w:rsidP="00DE5BE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E5BED" w:rsidRDefault="00DE5BED" w:rsidP="00DE5BE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DE5BED" w:rsidRDefault="00DE5BED" w:rsidP="00DE5BED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台州市自然资源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 xml:space="preserve">规划局 </w:t>
      </w:r>
      <w:r>
        <w:rPr>
          <w:rFonts w:ascii="仿宋_GB2312" w:eastAsia="仿宋_GB2312"/>
          <w:sz w:val="32"/>
          <w:szCs w:val="32"/>
        </w:rPr>
        <w:t xml:space="preserve">       </w:t>
      </w:r>
    </w:p>
    <w:p w:rsidR="005A2642" w:rsidRDefault="00DE5BED" w:rsidP="00DE5BED"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年4月1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 xml:space="preserve">日   </w:t>
      </w:r>
    </w:p>
    <w:sectPr w:rsidR="005A2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42" w:rsidRDefault="005A2642" w:rsidP="00DE5BED">
      <w:r>
        <w:separator/>
      </w:r>
    </w:p>
  </w:endnote>
  <w:endnote w:type="continuationSeparator" w:id="1">
    <w:p w:rsidR="005A2642" w:rsidRDefault="005A2642" w:rsidP="00DE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42" w:rsidRDefault="005A2642" w:rsidP="00DE5BED">
      <w:r>
        <w:separator/>
      </w:r>
    </w:p>
  </w:footnote>
  <w:footnote w:type="continuationSeparator" w:id="1">
    <w:p w:rsidR="005A2642" w:rsidRDefault="005A2642" w:rsidP="00DE5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BED"/>
    <w:rsid w:val="005A2642"/>
    <w:rsid w:val="00D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B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B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詹宝莹</dc:creator>
  <cp:keywords/>
  <dc:description/>
  <cp:lastModifiedBy>詹宝莹</cp:lastModifiedBy>
  <cp:revision>2</cp:revision>
  <dcterms:created xsi:type="dcterms:W3CDTF">2020-05-21T01:38:00Z</dcterms:created>
  <dcterms:modified xsi:type="dcterms:W3CDTF">2020-05-21T01:41:00Z</dcterms:modified>
</cp:coreProperties>
</file>